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20" w:rsidRPr="005A7120" w:rsidRDefault="005A7120" w:rsidP="005A712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A7120">
        <w:rPr>
          <w:rFonts w:ascii="Times New Roman" w:hAnsi="Times New Roman" w:cs="Times New Roman"/>
          <w:b/>
          <w:sz w:val="28"/>
          <w:szCs w:val="28"/>
        </w:rPr>
        <w:t>Об отдельных валютных ограничениях</w:t>
      </w:r>
    </w:p>
    <w:bookmarkEnd w:id="0"/>
    <w:p w:rsidR="005A7120" w:rsidRPr="00E70B84" w:rsidRDefault="005A7120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120">
        <w:rPr>
          <w:rFonts w:ascii="Times New Roman" w:hAnsi="Times New Roman" w:cs="Times New Roman"/>
          <w:sz w:val="28"/>
          <w:szCs w:val="28"/>
        </w:rPr>
        <w:t>Согласно нормам Федерального закона от 10.12.2003 № 173-ФЗ «О валютном регулировании и валютном контроле» российские граждане, а также лица, осуществляющие предпринимательскую деятельность без образования юридического лица и юридические лица относятся к категории «резидентов» и обязаны соблюдать существующие валютные ограничения.</w:t>
      </w:r>
      <w:proofErr w:type="gramEnd"/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>В свою очередь данные ограничения направлены на укрепление национальной валюты, борьбу с вытеснением ее валютами других государств, репатриацию (возврат) валютной выручки, своевременную и полную уплату налогов от внешнеэкономических сделок.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>В этой связи необходимо помнить следующее. Расчеты в иностранной валюте между резидентами, т.е. гражданами и организациями Российской Федерации запрещены за исключением ряда случаев, установленных законом, и осуществляются только через уполномоченные банки. Купля-продажа иностранной валюты и чеков, в том числе дорожных чеков, номинальная стоимость которых указана в иностранной валюте, в Российской Федерации производится только через уполномоченные банки и государственную корпорацию развития «ВЭБ</w:t>
      </w:r>
      <w:proofErr w:type="gramStart"/>
      <w:r w:rsidRPr="005A71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A7120">
        <w:rPr>
          <w:rFonts w:ascii="Times New Roman" w:hAnsi="Times New Roman" w:cs="Times New Roman"/>
          <w:sz w:val="28"/>
          <w:szCs w:val="28"/>
        </w:rPr>
        <w:t>Ф».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>Расчеты при осуществлении валютных операций, за исключением случаев, установленных законодательством, производятся физическими лицами – резидентами через банковские счета в уполномоченных банках, </w:t>
      </w:r>
      <w:hyperlink r:id="rId6" w:history="1">
        <w:r w:rsidRPr="005A712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A7120">
        <w:rPr>
          <w:rFonts w:ascii="Times New Roman" w:hAnsi="Times New Roman" w:cs="Times New Roman"/>
          <w:sz w:val="28"/>
          <w:szCs w:val="28"/>
        </w:rPr>
        <w:t> открытия и ведения которых устанавливается Центральным банком Российской Федерации.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120">
        <w:rPr>
          <w:rFonts w:ascii="Times New Roman" w:hAnsi="Times New Roman" w:cs="Times New Roman"/>
          <w:sz w:val="28"/>
          <w:szCs w:val="28"/>
        </w:rPr>
        <w:t>Согласно общим принципам валютного регулирования наличные денежные средства, дорожные чеки, общая сумма которых при их единовременном ввозе на таможенную территорию России и ЕАЭС или единовременном вывозе с таможенной территории России и ЕАЭС превышает сумму, эквивалентную 10000 долларов США по курсу валют, действующему на день подачи пассажирской таможенной декларации, подлежат таможенному декларированию.</w:t>
      </w:r>
      <w:proofErr w:type="gramEnd"/>
      <w:r w:rsidRPr="005A7120">
        <w:rPr>
          <w:rFonts w:ascii="Times New Roman" w:hAnsi="Times New Roman" w:cs="Times New Roman"/>
          <w:sz w:val="28"/>
          <w:szCs w:val="28"/>
        </w:rPr>
        <w:t xml:space="preserve"> Помимо этого, денежные инструменты, за исключением дорожных чеков, декларируются независимо от перемещаемой суммы.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 xml:space="preserve">Следует знать, что вывоз из Российской Федерации наличной валюты и финансовых инструментов в иностранной валюте в </w:t>
      </w:r>
      <w:proofErr w:type="gramStart"/>
      <w:r w:rsidRPr="005A7120">
        <w:rPr>
          <w:rFonts w:ascii="Times New Roman" w:hAnsi="Times New Roman" w:cs="Times New Roman"/>
          <w:sz w:val="28"/>
          <w:szCs w:val="28"/>
        </w:rPr>
        <w:t>сумме, превышающей эквивалент 10000 долларов США временно запрещен</w:t>
      </w:r>
      <w:proofErr w:type="gramEnd"/>
      <w:r w:rsidRPr="005A7120">
        <w:rPr>
          <w:rFonts w:ascii="Times New Roman" w:hAnsi="Times New Roman" w:cs="Times New Roman"/>
          <w:sz w:val="28"/>
          <w:szCs w:val="28"/>
        </w:rPr>
        <w:t xml:space="preserve"> на основании Указа Президента Российской Федерации от 01.03.2022 № 81 «О дополнительных временных мерах экономического характера по обеспечению финансовой стабильности Российской Федерации».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 xml:space="preserve">Согласно Таможенному кодексу Евразийского экономического союза (ЕАЭС) наличными денежными средствами являются денежные знаки в </w:t>
      </w:r>
      <w:proofErr w:type="gramStart"/>
      <w:r w:rsidRPr="005A712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5A7120">
        <w:rPr>
          <w:rFonts w:ascii="Times New Roman" w:hAnsi="Times New Roman" w:cs="Times New Roman"/>
          <w:sz w:val="28"/>
          <w:szCs w:val="28"/>
        </w:rPr>
        <w:t xml:space="preserve"> банкнот, казначейских билетов, монет, за отдельным исключением. </w:t>
      </w:r>
      <w:proofErr w:type="gramStart"/>
      <w:r w:rsidRPr="005A7120">
        <w:rPr>
          <w:rFonts w:ascii="Times New Roman" w:hAnsi="Times New Roman" w:cs="Times New Roman"/>
          <w:sz w:val="28"/>
          <w:szCs w:val="28"/>
        </w:rPr>
        <w:t xml:space="preserve">К денежным инструментам относятся дорожные чеки, векселя, банковские чеки, а также ценные бумаги в документарной форме, которые удостоверяют </w:t>
      </w:r>
      <w:r w:rsidRPr="005A7120">
        <w:rPr>
          <w:rFonts w:ascii="Times New Roman" w:hAnsi="Times New Roman" w:cs="Times New Roman"/>
          <w:sz w:val="28"/>
          <w:szCs w:val="28"/>
        </w:rPr>
        <w:lastRenderedPageBreak/>
        <w:t>обязательство эмитента (должника) по выплате денежных средств и в которых не указано лицо, которому осуществляется такая выплата.</w:t>
      </w:r>
      <w:proofErr w:type="gramEnd"/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 xml:space="preserve">Для участников внешнеэкономической деятельности законом установлена обязанность по репатриации (возврату) валютной выручки от внешнеторговых сделок. Также резиденты обязаны вернуть в Российскую Федерацию авансированные финансовые средства, уплаченные нерезидентам за </w:t>
      </w:r>
      <w:proofErr w:type="spellStart"/>
      <w:r w:rsidRPr="005A7120">
        <w:rPr>
          <w:rFonts w:ascii="Times New Roman" w:hAnsi="Times New Roman" w:cs="Times New Roman"/>
          <w:sz w:val="28"/>
          <w:szCs w:val="28"/>
        </w:rPr>
        <w:t>неввезенные</w:t>
      </w:r>
      <w:proofErr w:type="spellEnd"/>
      <w:r w:rsidRPr="005A7120">
        <w:rPr>
          <w:rFonts w:ascii="Times New Roman" w:hAnsi="Times New Roman" w:cs="Times New Roman"/>
          <w:sz w:val="28"/>
          <w:szCs w:val="28"/>
        </w:rPr>
        <w:t xml:space="preserve"> в Россию (неполученные на территории России) товары, невыполненные работы, </w:t>
      </w:r>
      <w:proofErr w:type="spellStart"/>
      <w:r w:rsidRPr="005A7120">
        <w:rPr>
          <w:rFonts w:ascii="Times New Roman" w:hAnsi="Times New Roman" w:cs="Times New Roman"/>
          <w:sz w:val="28"/>
          <w:szCs w:val="28"/>
        </w:rPr>
        <w:t>неоказанные</w:t>
      </w:r>
      <w:proofErr w:type="spellEnd"/>
      <w:r w:rsidRPr="005A7120">
        <w:rPr>
          <w:rFonts w:ascii="Times New Roman" w:hAnsi="Times New Roman" w:cs="Times New Roman"/>
          <w:sz w:val="28"/>
          <w:szCs w:val="28"/>
        </w:rPr>
        <w:t xml:space="preserve"> услуги, непереданные информацию и результаты интеллектуальной деятельности, в том числе исключительные права на них.</w:t>
      </w:r>
    </w:p>
    <w:p w:rsidR="005A7120" w:rsidRPr="005A7120" w:rsidRDefault="005A7120" w:rsidP="005A71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20">
        <w:rPr>
          <w:rFonts w:ascii="Times New Roman" w:hAnsi="Times New Roman" w:cs="Times New Roman"/>
          <w:sz w:val="28"/>
          <w:szCs w:val="28"/>
        </w:rPr>
        <w:t>Необходимо помнить, что за неисполнение норм валютного законодательства установлена как административная (ст. 15.25 КоАП РФ), так и уголовная (ст. 193 УК РФ) ответственность.</w:t>
      </w:r>
    </w:p>
    <w:p w:rsidR="00E70B84" w:rsidRDefault="00E70B84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70B84"/>
    <w:rsid w:val="00E93DA6"/>
    <w:rsid w:val="00EC2ADC"/>
    <w:rsid w:val="00EE0367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39391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2023-05-15T11:30:00Z</dcterms:created>
  <dcterms:modified xsi:type="dcterms:W3CDTF">2023-05-15T11:30:00Z</dcterms:modified>
</cp:coreProperties>
</file>